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9D" w:rsidRPr="005B394D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0937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9378C">
        <w:rPr>
          <w:sz w:val="24"/>
          <w:szCs w:val="24"/>
        </w:rPr>
        <w:t>Генеральному директору</w:t>
      </w:r>
    </w:p>
    <w:p w:rsidR="00DE1B9D" w:rsidRPr="00250FE2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C4017C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4B6F31">
        <w:rPr>
          <w:sz w:val="24"/>
          <w:szCs w:val="24"/>
        </w:rPr>
        <w:t>А.С. Громову</w:t>
      </w:r>
      <w:bookmarkStart w:id="0" w:name="_GoBack"/>
      <w:bookmarkEnd w:id="0"/>
    </w:p>
    <w:p w:rsidR="00DE1B9D" w:rsidRDefault="00DE1B9D" w:rsidP="00DE1B9D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</w:t>
      </w:r>
    </w:p>
    <w:p w:rsidR="00DE1B9D" w:rsidRPr="00250FE2" w:rsidRDefault="0009378C" w:rsidP="00DE1B9D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168275</wp:posOffset>
                </wp:positionV>
                <wp:extent cx="27146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98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5.55pt;margin-top:13.25pt;width:21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Xz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"/>
            </w:pict>
          </mc:Fallback>
        </mc:AlternateContent>
      </w:r>
      <w:r w:rsidR="00DE1B9D" w:rsidRPr="00250FE2">
        <w:rPr>
          <w:sz w:val="24"/>
          <w:szCs w:val="24"/>
        </w:rPr>
        <w:t xml:space="preserve">                       </w:t>
      </w:r>
      <w:r w:rsidR="00BC75AB">
        <w:rPr>
          <w:sz w:val="24"/>
          <w:szCs w:val="24"/>
        </w:rPr>
        <w:t xml:space="preserve">                                                             от</w:t>
      </w:r>
    </w:p>
    <w:p w:rsidR="00DE1B9D" w:rsidRPr="00593B87" w:rsidRDefault="00DE1B9D" w:rsidP="00DE1B9D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DE1B9D" w:rsidRDefault="00DE1B9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>ктроснабжения энергопринимающих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>и (или) объектов микрогенерации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 w:rsidP="00D90324">
      <w:pPr>
        <w:pBdr>
          <w:top w:val="single" w:sz="4" w:space="1" w:color="auto"/>
        </w:pBdr>
        <w:spacing w:after="60"/>
        <w:ind w:left="851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5708AA"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DE1B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</w:t>
      </w:r>
      <w:r w:rsidR="00FB7C63"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AC1CB4" w:rsidRPr="00D90324" w:rsidRDefault="00AC1CB4" w:rsidP="00AC1CB4">
      <w:pPr>
        <w:ind w:firstLine="567"/>
        <w:jc w:val="both"/>
        <w:rPr>
          <w:sz w:val="2"/>
          <w:szCs w:val="2"/>
        </w:rPr>
      </w:pPr>
      <w:r w:rsidRPr="00D90324">
        <w:rPr>
          <w:sz w:val="24"/>
          <w:szCs w:val="24"/>
        </w:rPr>
        <w:t>3</w:t>
      </w:r>
      <w:r w:rsidR="00472C05" w:rsidRPr="00D90324">
        <w:rPr>
          <w:sz w:val="24"/>
          <w:szCs w:val="24"/>
        </w:rPr>
        <w:t>(1)</w:t>
      </w:r>
      <w:r w:rsidRPr="00D90324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D90324">
        <w:rPr>
          <w:sz w:val="24"/>
          <w:szCs w:val="24"/>
        </w:rPr>
        <w:br/>
      </w:r>
    </w:p>
    <w:p w:rsidR="00AC1CB4" w:rsidRDefault="00AC1CB4" w:rsidP="00AC1CB4">
      <w:pPr>
        <w:tabs>
          <w:tab w:val="right" w:pos="9923"/>
        </w:tabs>
        <w:rPr>
          <w:sz w:val="24"/>
          <w:szCs w:val="24"/>
        </w:rPr>
      </w:pPr>
      <w:r w:rsidRPr="00D90324">
        <w:rPr>
          <w:sz w:val="24"/>
          <w:szCs w:val="24"/>
        </w:rPr>
        <w:tab/>
        <w:t>.</w:t>
      </w:r>
    </w:p>
    <w:p w:rsidR="00AC1CB4" w:rsidRDefault="00AC1CB4" w:rsidP="00AC1C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(наименование энергопринимающих устройств</w:t>
      </w:r>
      <w:r w:rsidR="00E52D78">
        <w:t xml:space="preserve"> и (или) объектов микрогенерации</w:t>
      </w:r>
      <w:r>
        <w:t xml:space="preserve">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(место нахождения энергопринимающих устройств</w:t>
      </w:r>
      <w:r w:rsidR="00E52D78">
        <w:t xml:space="preserve"> и (или) объектов микрогенерации</w:t>
      </w:r>
      <w:r>
        <w:t>)</w:t>
      </w:r>
    </w:p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:rsidTr="00E52D7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:rsidTr="00E52D78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:rsidTr="00E52D7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микрогенерации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:rsidTr="006C699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E52D78" w:rsidRPr="00E52D78" w:rsidRDefault="00E52D78" w:rsidP="008C182C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объектов микрогенерации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:rsidTr="006C699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:rsidTr="00E52D78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микрогенерации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Кол</w:t>
      </w:r>
      <w:r w:rsidR="00DE1B9D">
        <w:rPr>
          <w:sz w:val="24"/>
          <w:szCs w:val="24"/>
        </w:rPr>
        <w:t xml:space="preserve">ичество и мощность генераторов </w:t>
      </w:r>
      <w:r>
        <w:rPr>
          <w:sz w:val="24"/>
          <w:szCs w:val="24"/>
        </w:rPr>
        <w:tab/>
        <w:t>.</w:t>
      </w:r>
    </w:p>
    <w:p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FB7C63">
        <w:rPr>
          <w:sz w:val="24"/>
          <w:szCs w:val="24"/>
        </w:rPr>
        <w:t xml:space="preserve">. Заявляемая категория надежности энергопринимающих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  <w:t>микрогенерации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tbl>
      <w:tblPr>
        <w:tblpPr w:leftFromText="180" w:rightFromText="180" w:vertAnchor="text" w:horzAnchor="margin" w:tblpXSpec="center" w:tblpY="79"/>
        <w:tblW w:w="1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2126"/>
        <w:gridCol w:w="2126"/>
        <w:gridCol w:w="2126"/>
        <w:gridCol w:w="1560"/>
      </w:tblGrid>
      <w:tr w:rsidR="00DE1B9D" w:rsidRPr="00CC4806" w:rsidTr="00DE1B9D">
        <w:tc>
          <w:tcPr>
            <w:tcW w:w="144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 проектирования энергоприни</w:t>
            </w:r>
            <w:r w:rsidRPr="00CC4806">
              <w:rPr>
                <w:sz w:val="22"/>
                <w:szCs w:val="22"/>
              </w:rPr>
              <w:softHyphen/>
              <w:t>мающих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>объектов микрогенерации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>введе</w:t>
            </w:r>
            <w:r>
              <w:rPr>
                <w:sz w:val="22"/>
                <w:szCs w:val="22"/>
              </w:rPr>
              <w:t xml:space="preserve">ния энергопринимающих устройств и (или) объектов микрогенерации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Максимальная мощность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Категория надежности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</w:p>
        </w:tc>
        <w:tc>
          <w:tcPr>
            <w:tcW w:w="1560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>мощность объектов микрогенерации</w:t>
            </w:r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DE1B9D" w:rsidRPr="00CC4806" w:rsidTr="00DE1B9D"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  <w:tr w:rsidR="00DE1B9D" w:rsidRPr="00CC4806" w:rsidTr="00DE1B9D"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  <w:tr w:rsidR="00DE1B9D" w:rsidRPr="00CC4806" w:rsidTr="00DE1B9D"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1B9D" w:rsidRDefault="00DE1B9D" w:rsidP="00DE1B9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1B9D" w:rsidRDefault="00DE1B9D" w:rsidP="00DE1B9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12.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E1B9D" w:rsidRDefault="00DE1B9D" w:rsidP="00DE1B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E1B9D" w:rsidRDefault="00DE1B9D" w:rsidP="00DE1B9D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E1B9D" w:rsidRDefault="00DE1B9D" w:rsidP="00DE1B9D">
      <w:pPr>
        <w:jc w:val="center"/>
      </w:pPr>
      <w:r>
        <w:t>(указать перечень прилагаемых документов)</w:t>
      </w: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E1B9D" w:rsidRDefault="00DE1B9D" w:rsidP="00DE1B9D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DE1B9D" w:rsidRDefault="00DE1B9D" w:rsidP="00DE1B9D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DE1B9D" w:rsidRDefault="00DE1B9D" w:rsidP="00DE1B9D">
      <w:pPr>
        <w:ind w:right="4853"/>
        <w:rPr>
          <w:sz w:val="24"/>
          <w:szCs w:val="24"/>
        </w:rPr>
      </w:pPr>
    </w:p>
    <w:p w:rsidR="00DE1B9D" w:rsidRPr="007E5233" w:rsidRDefault="00DE1B9D" w:rsidP="00DE1B9D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DE1B9D" w:rsidRDefault="00DE1B9D" w:rsidP="00DE1B9D">
      <w:pPr>
        <w:ind w:right="4853"/>
        <w:rPr>
          <w:sz w:val="24"/>
          <w:szCs w:val="24"/>
        </w:rPr>
      </w:pPr>
    </w:p>
    <w:p w:rsidR="00DE1B9D" w:rsidRPr="00A640A0" w:rsidRDefault="00DE1B9D" w:rsidP="00DE1B9D">
      <w:pPr>
        <w:pBdr>
          <w:top w:val="single" w:sz="4" w:space="1" w:color="auto"/>
        </w:pBdr>
        <w:ind w:right="4853"/>
        <w:jc w:val="center"/>
      </w:pPr>
      <w:r w:rsidRPr="00D90324">
        <w:t xml:space="preserve">(выделенный оператором подвижной радиотелефонной связи абонентский номер и адрес электронной </w:t>
      </w:r>
      <w:r w:rsidRPr="00D90324"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DE1B9D" w:rsidTr="00C90E6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</w:tr>
      <w:tr w:rsidR="00DE1B9D" w:rsidTr="00C90E65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9D" w:rsidRDefault="00DE1B9D" w:rsidP="00C90E65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E1B9D" w:rsidRDefault="00DE1B9D" w:rsidP="00C90E6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9D" w:rsidRDefault="00DE1B9D" w:rsidP="00C90E65">
            <w:pPr>
              <w:jc w:val="center"/>
            </w:pPr>
            <w:r>
              <w:t>(подпись)</w:t>
            </w:r>
          </w:p>
        </w:tc>
      </w:tr>
    </w:tbl>
    <w:p w:rsidR="00DE1B9D" w:rsidRDefault="00DE1B9D" w:rsidP="00DE1B9D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E1B9D" w:rsidTr="00C90E6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C4806" w:rsidRDefault="00DE1B9D" w:rsidP="001423A6">
      <w:pPr>
        <w:spacing w:before="240"/>
        <w:rPr>
          <w:sz w:val="24"/>
          <w:szCs w:val="24"/>
        </w:rPr>
        <w:sectPr w:rsidR="00CC4806">
          <w:pgSz w:w="11906" w:h="16838"/>
          <w:pgMar w:top="851" w:right="851" w:bottom="567" w:left="1134" w:header="397" w:footer="397" w:gutter="0"/>
          <w:cols w:space="709"/>
          <w:rtlGutter/>
        </w:sectPr>
      </w:pPr>
      <w:r w:rsidRPr="007046A8">
        <w:rPr>
          <w:sz w:val="24"/>
          <w:szCs w:val="24"/>
        </w:rPr>
        <w:t>М.П.</w:t>
      </w:r>
      <w:r w:rsidRPr="00DE1B9D">
        <w:rPr>
          <w:sz w:val="18"/>
          <w:szCs w:val="24"/>
        </w:rPr>
        <w:t xml:space="preserve"> (при наличии)</w:t>
      </w:r>
    </w:p>
    <w:p w:rsidR="001423A6" w:rsidRDefault="001423A6" w:rsidP="0009378C">
      <w:pPr>
        <w:jc w:val="both"/>
        <w:rPr>
          <w:sz w:val="24"/>
          <w:szCs w:val="24"/>
        </w:rPr>
        <w:sectPr w:rsidR="001423A6" w:rsidSect="00DE1B9D">
          <w:pgSz w:w="11906" w:h="16838"/>
          <w:pgMar w:top="851" w:right="567" w:bottom="851" w:left="1134" w:header="397" w:footer="397" w:gutter="0"/>
          <w:cols w:space="709"/>
          <w:docGrid w:linePitch="272"/>
        </w:sectPr>
      </w:pPr>
    </w:p>
    <w:p w:rsidR="00CC4806" w:rsidRPr="001423A6" w:rsidRDefault="00CC4806" w:rsidP="001423A6">
      <w:pPr>
        <w:tabs>
          <w:tab w:val="left" w:pos="8220"/>
        </w:tabs>
        <w:rPr>
          <w:sz w:val="24"/>
          <w:szCs w:val="24"/>
        </w:rPr>
        <w:sectPr w:rsidR="00CC4806" w:rsidRPr="001423A6" w:rsidSect="001423A6">
          <w:type w:val="continuous"/>
          <w:pgSz w:w="11906" w:h="16838"/>
          <w:pgMar w:top="851" w:right="567" w:bottom="851" w:left="1134" w:header="397" w:footer="397" w:gutter="0"/>
          <w:cols w:space="709"/>
          <w:docGrid w:linePitch="272"/>
        </w:sectPr>
      </w:pPr>
    </w:p>
    <w:p w:rsidR="007046A8" w:rsidRDefault="007046A8" w:rsidP="007046A8">
      <w:pPr>
        <w:rPr>
          <w:sz w:val="24"/>
          <w:szCs w:val="24"/>
        </w:rPr>
      </w:pPr>
    </w:p>
    <w:p w:rsidR="007046A8" w:rsidRPr="007046A8" w:rsidRDefault="007046A8" w:rsidP="007046A8">
      <w:pPr>
        <w:rPr>
          <w:sz w:val="24"/>
          <w:szCs w:val="24"/>
        </w:rPr>
      </w:pPr>
    </w:p>
    <w:sectPr w:rsidR="007046A8" w:rsidRPr="007046A8"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12" w:rsidRDefault="009A2412">
      <w:r>
        <w:separator/>
      </w:r>
    </w:p>
  </w:endnote>
  <w:endnote w:type="continuationSeparator" w:id="0">
    <w:p w:rsidR="009A2412" w:rsidRDefault="009A2412">
      <w:r>
        <w:continuationSeparator/>
      </w:r>
    </w:p>
  </w:endnote>
  <w:endnote w:id="1">
    <w:p w:rsidR="00376CBA" w:rsidRDefault="005708AA" w:rsidP="005708AA">
      <w:pPr>
        <w:pStyle w:val="a7"/>
        <w:ind w:firstLine="567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376CBA" w:rsidRDefault="00FB7C63" w:rsidP="007E52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376CBA" w:rsidRDefault="00FB7C63" w:rsidP="007E523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</w:t>
      </w:r>
      <w:r w:rsidR="007046A8">
        <w:t xml:space="preserve"> энергопринимающих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376CBA" w:rsidRDefault="00FB7C63" w:rsidP="007E523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5">
    <w:p w:rsidR="00376CBA" w:rsidRDefault="00E52D78" w:rsidP="007E5233">
      <w:pPr>
        <w:pStyle w:val="a7"/>
        <w:ind w:firstLine="567"/>
        <w:jc w:val="both"/>
      </w:pPr>
      <w:r>
        <w:rPr>
          <w:rStyle w:val="a9"/>
        </w:rPr>
        <w:t>5</w:t>
      </w:r>
      <w:r w:rsidR="007046A8">
        <w:t> 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12" w:rsidRDefault="009A2412">
      <w:r>
        <w:separator/>
      </w:r>
    </w:p>
  </w:footnote>
  <w:footnote w:type="continuationSeparator" w:id="0">
    <w:p w:rsidR="009A2412" w:rsidRDefault="009A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9378C"/>
    <w:rsid w:val="00135C80"/>
    <w:rsid w:val="001423A6"/>
    <w:rsid w:val="00175483"/>
    <w:rsid w:val="001D2AFB"/>
    <w:rsid w:val="00250FE2"/>
    <w:rsid w:val="00376CBA"/>
    <w:rsid w:val="004704A6"/>
    <w:rsid w:val="004723A5"/>
    <w:rsid w:val="00472C05"/>
    <w:rsid w:val="004B6F31"/>
    <w:rsid w:val="0052085F"/>
    <w:rsid w:val="005708AA"/>
    <w:rsid w:val="00577D2C"/>
    <w:rsid w:val="00593B87"/>
    <w:rsid w:val="005B394D"/>
    <w:rsid w:val="005E175A"/>
    <w:rsid w:val="00693A90"/>
    <w:rsid w:val="006C6997"/>
    <w:rsid w:val="007046A8"/>
    <w:rsid w:val="007E5233"/>
    <w:rsid w:val="008C182C"/>
    <w:rsid w:val="00987D52"/>
    <w:rsid w:val="009A2412"/>
    <w:rsid w:val="00A640A0"/>
    <w:rsid w:val="00AA29F9"/>
    <w:rsid w:val="00AC1CB4"/>
    <w:rsid w:val="00BA363C"/>
    <w:rsid w:val="00BC75AB"/>
    <w:rsid w:val="00C4017C"/>
    <w:rsid w:val="00C55538"/>
    <w:rsid w:val="00C90E65"/>
    <w:rsid w:val="00CC4806"/>
    <w:rsid w:val="00D90324"/>
    <w:rsid w:val="00DE1B9D"/>
    <w:rsid w:val="00DF4BC1"/>
    <w:rsid w:val="00E52D78"/>
    <w:rsid w:val="00FB2EDB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84EFE"/>
  <w14:defaultImageDpi w14:val="0"/>
  <w15:docId w15:val="{9C5B36A1-EAF3-40AC-A8A1-CED5683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2</cp:revision>
  <cp:lastPrinted>2015-06-23T12:09:00Z</cp:lastPrinted>
  <dcterms:created xsi:type="dcterms:W3CDTF">2024-01-11T07:23:00Z</dcterms:created>
  <dcterms:modified xsi:type="dcterms:W3CDTF">2024-01-11T07:23:00Z</dcterms:modified>
</cp:coreProperties>
</file>